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E4" w:rsidRDefault="000077E4" w:rsidP="00F24A13">
      <w:pPr>
        <w:pStyle w:val="NormaleWeb"/>
        <w:ind w:right="-1"/>
        <w:rPr>
          <w:rStyle w:val="Enfasigrassetto"/>
          <w:rFonts w:ascii="Arial" w:hAnsi="Arial" w:cs="Arial"/>
          <w:sz w:val="22"/>
          <w:szCs w:val="22"/>
        </w:rPr>
      </w:pPr>
      <w:bookmarkStart w:id="0" w:name="_GoBack"/>
      <w:bookmarkEnd w:id="0"/>
      <w:r>
        <w:rPr>
          <w:rStyle w:val="Enfasigrassetto"/>
          <w:rFonts w:ascii="Arial" w:hAnsi="Arial"/>
          <w:sz w:val="22"/>
          <w:szCs w:val="22"/>
        </w:rPr>
        <w:t xml:space="preserve">Criminal </w:t>
      </w:r>
      <w:r w:rsidR="005C5DE7">
        <w:rPr>
          <w:rStyle w:val="Enfasigrassetto"/>
          <w:rFonts w:ascii="Arial" w:hAnsi="Arial"/>
          <w:sz w:val="22"/>
          <w:szCs w:val="22"/>
        </w:rPr>
        <w:t>Records or Pending Charges</w:t>
      </w:r>
    </w:p>
    <w:p w:rsidR="00CA778F" w:rsidRPr="00CA778F" w:rsidRDefault="00CA778F" w:rsidP="00F24A13">
      <w:pPr>
        <w:pStyle w:val="NormaleWeb"/>
        <w:ind w:right="-1"/>
        <w:rPr>
          <w:rStyle w:val="Enfasigrassetto"/>
          <w:rFonts w:ascii="Arial" w:hAnsi="Arial" w:cs="Arial"/>
          <w:sz w:val="22"/>
          <w:szCs w:val="22"/>
        </w:rPr>
      </w:pPr>
      <w:r>
        <w:rPr>
          <w:rFonts w:ascii="Arial" w:hAnsi="Arial"/>
          <w:sz w:val="22"/>
          <w:szCs w:val="22"/>
        </w:rPr>
        <w:t>The candidate declares not</w:t>
      </w:r>
      <w:r w:rsidR="005C5DE7">
        <w:rPr>
          <w:rFonts w:ascii="Arial" w:hAnsi="Arial"/>
          <w:sz w:val="22"/>
          <w:szCs w:val="22"/>
        </w:rPr>
        <w:t xml:space="preserve"> to</w:t>
      </w:r>
      <w:r>
        <w:rPr>
          <w:rFonts w:ascii="Arial" w:hAnsi="Arial"/>
          <w:sz w:val="22"/>
          <w:szCs w:val="22"/>
        </w:rPr>
        <w:t xml:space="preserve"> have, either personally or with reference to his or her relatives (up to the fourth degree of kinship) and relatives-in-law (up to the fourth degree), any criminal records or pending charges for the offenses listed below.</w:t>
      </w:r>
    </w:p>
    <w:p w:rsidR="00425B89" w:rsidRPr="00CA778F" w:rsidRDefault="00425B89" w:rsidP="00F24A13">
      <w:pPr>
        <w:pStyle w:val="NormaleWeb"/>
        <w:ind w:right="-1"/>
        <w:rPr>
          <w:rStyle w:val="Enfasigrassetto"/>
          <w:rFonts w:ascii="Arial" w:hAnsi="Arial" w:cs="Arial"/>
          <w:sz w:val="22"/>
          <w:szCs w:val="22"/>
          <w:u w:val="single"/>
        </w:rPr>
      </w:pPr>
      <w:r>
        <w:rPr>
          <w:rStyle w:val="Enfasigrassetto"/>
          <w:rFonts w:ascii="Arial" w:hAnsi="Arial"/>
          <w:sz w:val="22"/>
          <w:szCs w:val="22"/>
          <w:u w:val="single"/>
        </w:rPr>
        <w:t xml:space="preserve">Personally </w:t>
      </w:r>
    </w:p>
    <w:p w:rsidR="008D757C" w:rsidRPr="00CA778F" w:rsidRDefault="00334133" w:rsidP="0028774A">
      <w:pPr>
        <w:pStyle w:val="NormaleWeb"/>
        <w:spacing w:before="0" w:beforeAutospacing="0" w:after="0" w:afterAutospacing="0"/>
        <w:ind w:right="-1"/>
        <w:rPr>
          <w:rStyle w:val="Enfasigrassetto"/>
          <w:rFonts w:ascii="Arial" w:hAnsi="Arial" w:cs="Arial"/>
          <w:b w:val="0"/>
          <w:bCs w:val="0"/>
          <w:color w:val="1F497D"/>
          <w:sz w:val="22"/>
          <w:szCs w:val="22"/>
          <w:u w:val="single"/>
        </w:rPr>
      </w:pPr>
      <w:r>
        <w:rPr>
          <w:rStyle w:val="Enfasigrassetto"/>
          <w:rFonts w:ascii="Arial" w:hAnsi="Arial"/>
          <w:sz w:val="22"/>
          <w:szCs w:val="22"/>
        </w:rPr>
        <w:t xml:space="preserve">Offenses provided for in </w:t>
      </w:r>
      <w:r w:rsidR="005C5DE7">
        <w:rPr>
          <w:rStyle w:val="Enfasigrassetto"/>
          <w:rFonts w:ascii="Arial" w:hAnsi="Arial"/>
          <w:sz w:val="22"/>
          <w:szCs w:val="22"/>
        </w:rPr>
        <w:t xml:space="preserve">Book </w:t>
      </w:r>
      <w:r>
        <w:rPr>
          <w:rStyle w:val="Enfasigrassetto"/>
          <w:rFonts w:ascii="Arial" w:hAnsi="Arial"/>
          <w:sz w:val="22"/>
          <w:szCs w:val="22"/>
        </w:rPr>
        <w:t xml:space="preserve">II, </w:t>
      </w:r>
      <w:r w:rsidR="005C5DE7">
        <w:rPr>
          <w:rStyle w:val="Enfasigrassetto"/>
          <w:rFonts w:ascii="Arial" w:hAnsi="Arial"/>
          <w:sz w:val="22"/>
          <w:szCs w:val="22"/>
        </w:rPr>
        <w:t xml:space="preserve">Title </w:t>
      </w:r>
      <w:r>
        <w:rPr>
          <w:rStyle w:val="Enfasigrassetto"/>
          <w:rFonts w:ascii="Arial" w:hAnsi="Arial"/>
          <w:sz w:val="22"/>
          <w:szCs w:val="22"/>
        </w:rPr>
        <w:t xml:space="preserve">II, </w:t>
      </w:r>
      <w:r w:rsidR="005C5DE7">
        <w:rPr>
          <w:rStyle w:val="Enfasigrassetto"/>
          <w:rFonts w:ascii="Arial" w:hAnsi="Arial"/>
          <w:sz w:val="22"/>
          <w:szCs w:val="22"/>
        </w:rPr>
        <w:t xml:space="preserve">Chapter </w:t>
      </w:r>
      <w:r>
        <w:rPr>
          <w:rStyle w:val="Enfasigrassetto"/>
          <w:rFonts w:ascii="Arial" w:hAnsi="Arial"/>
          <w:sz w:val="22"/>
          <w:szCs w:val="22"/>
        </w:rPr>
        <w:t xml:space="preserve">I of the </w:t>
      </w:r>
      <w:r w:rsidR="005C5DE7">
        <w:rPr>
          <w:rStyle w:val="Enfasigrassetto"/>
          <w:rFonts w:ascii="Arial" w:hAnsi="Arial"/>
          <w:sz w:val="22"/>
          <w:szCs w:val="22"/>
        </w:rPr>
        <w:t>Criminal Code</w:t>
      </w:r>
      <w:r>
        <w:rPr>
          <w:rStyle w:val="Enfasigrassetto"/>
          <w:rFonts w:ascii="Arial" w:hAnsi="Arial"/>
          <w:sz w:val="22"/>
          <w:szCs w:val="22"/>
        </w:rPr>
        <w:t>, named “Crimes against the public administration” referred to in articles:</w:t>
      </w:r>
    </w:p>
    <w:p w:rsidR="0028774A" w:rsidRDefault="0028774A" w:rsidP="00F24A13">
      <w:pPr>
        <w:pStyle w:val="NormaleWeb"/>
        <w:spacing w:before="0" w:beforeAutospacing="0" w:after="0" w:afterAutospacing="0"/>
        <w:ind w:right="-1"/>
        <w:jc w:val="both"/>
        <w:rPr>
          <w:rStyle w:val="Enfasigrassetto"/>
          <w:rFonts w:ascii="Arial" w:hAnsi="Arial"/>
          <w:b w:val="0"/>
          <w:bCs w:val="0"/>
          <w:sz w:val="22"/>
          <w:szCs w:val="22"/>
        </w:rPr>
      </w:pPr>
    </w:p>
    <w:p w:rsidR="00632D74" w:rsidRDefault="008D757C" w:rsidP="00F24A13">
      <w:pPr>
        <w:pStyle w:val="NormaleWeb"/>
        <w:spacing w:before="0" w:beforeAutospacing="0" w:after="0" w:afterAutospacing="0"/>
        <w:ind w:right="-1"/>
        <w:jc w:val="both"/>
        <w:rPr>
          <w:rStyle w:val="Enfasigrassetto"/>
          <w:rFonts w:ascii="Arial" w:hAnsi="Arial" w:cs="Arial"/>
          <w:b w:val="0"/>
          <w:bCs w:val="0"/>
          <w:sz w:val="22"/>
          <w:szCs w:val="22"/>
        </w:rPr>
      </w:pPr>
      <w:r>
        <w:rPr>
          <w:rStyle w:val="Enfasigrassetto"/>
          <w:rFonts w:ascii="Arial" w:hAnsi="Arial"/>
          <w:b w:val="0"/>
          <w:bCs w:val="0"/>
          <w:sz w:val="22"/>
          <w:szCs w:val="22"/>
        </w:rPr>
        <w:t xml:space="preserve">Art. 314. Embezzlement; 24 Art. 315.  Embezzlement to the detriment of private individuals; 316.Embezzlement by taking advantage of another’s error; </w:t>
      </w:r>
      <w:bookmarkStart w:id="1" w:name="art316bis"/>
      <w:bookmarkEnd w:id="1"/>
      <w:r>
        <w:rPr>
          <w:rStyle w:val="Enfasigrassetto"/>
          <w:rFonts w:ascii="Arial" w:hAnsi="Arial"/>
          <w:b w:val="0"/>
          <w:bCs w:val="0"/>
          <w:sz w:val="22"/>
          <w:szCs w:val="22"/>
        </w:rPr>
        <w:t xml:space="preserve">Art. Art. 316-bis.Embezzlement to the detriment of the State; </w:t>
      </w:r>
      <w:bookmarkStart w:id="2" w:name="art316ter"/>
      <w:bookmarkEnd w:id="2"/>
      <w:r>
        <w:rPr>
          <w:rStyle w:val="Enfasigrassetto"/>
          <w:rFonts w:ascii="Arial" w:hAnsi="Arial"/>
          <w:b w:val="0"/>
          <w:bCs w:val="0"/>
          <w:sz w:val="22"/>
          <w:szCs w:val="22"/>
        </w:rPr>
        <w:t>Art. 316-ter.Misappropriation of public funds;</w:t>
      </w:r>
      <w:bookmarkStart w:id="3" w:name="art317"/>
      <w:bookmarkEnd w:id="3"/>
      <w:r>
        <w:rPr>
          <w:rStyle w:val="Enfasigrassetto"/>
          <w:rFonts w:ascii="Arial" w:hAnsi="Arial"/>
          <w:b w:val="0"/>
          <w:bCs w:val="0"/>
          <w:sz w:val="22"/>
          <w:szCs w:val="22"/>
        </w:rPr>
        <w:t xml:space="preserve"> Art. 317</w:t>
      </w:r>
      <w:r w:rsidR="0028774A">
        <w:rPr>
          <w:rStyle w:val="Enfasigrassetto"/>
          <w:rFonts w:ascii="Arial" w:hAnsi="Arial"/>
          <w:b w:val="0"/>
          <w:bCs w:val="0"/>
          <w:sz w:val="22"/>
          <w:szCs w:val="22"/>
        </w:rPr>
        <w:t>. Extortion</w:t>
      </w:r>
      <w:r>
        <w:rPr>
          <w:rStyle w:val="Enfasigrassetto"/>
          <w:rFonts w:ascii="Arial" w:hAnsi="Arial"/>
          <w:b w:val="0"/>
          <w:bCs w:val="0"/>
          <w:sz w:val="22"/>
          <w:szCs w:val="22"/>
        </w:rPr>
        <w:t>; Art. 317-bis.Accessory penalties; Art. 318. Corruption for the exercise of a public office; Art. 319</w:t>
      </w:r>
      <w:r w:rsidR="0028774A">
        <w:rPr>
          <w:rStyle w:val="Enfasigrassetto"/>
          <w:rFonts w:ascii="Arial" w:hAnsi="Arial"/>
          <w:b w:val="0"/>
          <w:bCs w:val="0"/>
          <w:sz w:val="22"/>
          <w:szCs w:val="22"/>
        </w:rPr>
        <w:t>. Corruption</w:t>
      </w:r>
      <w:r>
        <w:rPr>
          <w:rStyle w:val="Enfasigrassetto"/>
          <w:rFonts w:ascii="Arial" w:hAnsi="Arial"/>
          <w:b w:val="0"/>
          <w:bCs w:val="0"/>
          <w:sz w:val="22"/>
          <w:szCs w:val="22"/>
        </w:rPr>
        <w:t xml:space="preserve"> for an act contrary to the duties of office; Art. 319-bis.Aggravating circumstances;</w:t>
      </w:r>
      <w:bookmarkStart w:id="4" w:name="art319ter"/>
      <w:bookmarkEnd w:id="4"/>
      <w:r>
        <w:rPr>
          <w:rStyle w:val="Enfasigrassetto"/>
          <w:rFonts w:ascii="Arial" w:hAnsi="Arial"/>
          <w:b w:val="0"/>
          <w:bCs w:val="0"/>
          <w:sz w:val="22"/>
          <w:szCs w:val="22"/>
        </w:rPr>
        <w:t xml:space="preserve"> Art. 319-ter.Corruption in a judicial act;</w:t>
      </w:r>
      <w:bookmarkStart w:id="5" w:name="art319quater"/>
      <w:bookmarkEnd w:id="5"/>
      <w:r>
        <w:rPr>
          <w:rStyle w:val="Enfasigrassetto"/>
          <w:rFonts w:ascii="Arial" w:hAnsi="Arial"/>
          <w:b w:val="0"/>
          <w:bCs w:val="0"/>
          <w:sz w:val="22"/>
          <w:szCs w:val="22"/>
        </w:rPr>
        <w:t xml:space="preserve"> Art. 319-quater.Dealings in unlawful influences;</w:t>
      </w:r>
      <w:bookmarkStart w:id="6" w:name="art320"/>
      <w:bookmarkEnd w:id="6"/>
      <w:r>
        <w:rPr>
          <w:rStyle w:val="Enfasigrassetto"/>
          <w:rFonts w:ascii="Arial" w:hAnsi="Arial"/>
          <w:b w:val="0"/>
          <w:bCs w:val="0"/>
          <w:sz w:val="22"/>
          <w:szCs w:val="22"/>
        </w:rPr>
        <w:t xml:space="preserve"> Art. 320. Corruption of a person in charge of a public service; Art. 321</w:t>
      </w:r>
      <w:r w:rsidR="0028774A">
        <w:rPr>
          <w:rStyle w:val="Enfasigrassetto"/>
          <w:rFonts w:ascii="Arial" w:hAnsi="Arial"/>
          <w:b w:val="0"/>
          <w:bCs w:val="0"/>
          <w:sz w:val="22"/>
          <w:szCs w:val="22"/>
        </w:rPr>
        <w:t>. Penalties</w:t>
      </w:r>
      <w:r>
        <w:rPr>
          <w:rStyle w:val="Enfasigrassetto"/>
          <w:rFonts w:ascii="Arial" w:hAnsi="Arial"/>
          <w:b w:val="0"/>
          <w:bCs w:val="0"/>
          <w:sz w:val="22"/>
          <w:szCs w:val="22"/>
        </w:rPr>
        <w:t xml:space="preserve"> for the corrupter.</w:t>
      </w:r>
      <w:bookmarkStart w:id="7" w:name="art322"/>
      <w:bookmarkEnd w:id="7"/>
      <w:r>
        <w:rPr>
          <w:rStyle w:val="Enfasigrassetto"/>
          <w:rFonts w:ascii="Arial" w:hAnsi="Arial"/>
          <w:b w:val="0"/>
          <w:bCs w:val="0"/>
          <w:sz w:val="22"/>
          <w:szCs w:val="22"/>
        </w:rPr>
        <w:t xml:space="preserve"> Art. 322. Incitement to   corruption;</w:t>
      </w:r>
      <w:bookmarkStart w:id="8" w:name="art322bis"/>
      <w:bookmarkEnd w:id="8"/>
      <w:r>
        <w:rPr>
          <w:rStyle w:val="Enfasigrassetto"/>
          <w:rFonts w:ascii="Arial" w:hAnsi="Arial"/>
          <w:b w:val="0"/>
          <w:bCs w:val="0"/>
          <w:sz w:val="22"/>
          <w:szCs w:val="22"/>
        </w:rPr>
        <w:t xml:space="preserve"> Art. 322-bis. Embezzlement, extortion, undue inducement to give or promise an advantage, bribery and incitement to bribery of the members of bodies of the European Communities and officials of the European Communities and foreign States; Art. 322-ter. Confiscation Art. 322-quater Financial compensation; </w:t>
      </w:r>
      <w:bookmarkStart w:id="9" w:name="art323"/>
      <w:bookmarkEnd w:id="9"/>
      <w:r>
        <w:rPr>
          <w:rStyle w:val="Enfasigrassetto"/>
          <w:rFonts w:ascii="Arial" w:hAnsi="Arial"/>
          <w:b w:val="0"/>
          <w:bCs w:val="0"/>
          <w:sz w:val="22"/>
          <w:szCs w:val="22"/>
        </w:rPr>
        <w:t>Art. 323. Abuse of authority; Art. 324.</w:t>
      </w:r>
    </w:p>
    <w:p w:rsidR="000A4562" w:rsidRPr="00CA778F" w:rsidRDefault="000A4562" w:rsidP="00F24A13">
      <w:pPr>
        <w:pStyle w:val="NormaleWeb"/>
        <w:spacing w:before="0" w:beforeAutospacing="0" w:after="0" w:afterAutospacing="0"/>
        <w:ind w:right="-1"/>
        <w:jc w:val="both"/>
        <w:rPr>
          <w:rStyle w:val="Enfasigrassetto"/>
          <w:rFonts w:ascii="Arial" w:hAnsi="Arial" w:cs="Arial"/>
          <w:b w:val="0"/>
          <w:bCs w:val="0"/>
          <w:sz w:val="22"/>
          <w:szCs w:val="22"/>
        </w:rPr>
      </w:pPr>
      <w:r>
        <w:rPr>
          <w:rStyle w:val="Enfasigrassetto"/>
          <w:rFonts w:ascii="Arial" w:hAnsi="Arial"/>
          <w:b w:val="0"/>
          <w:bCs w:val="0"/>
          <w:sz w:val="22"/>
          <w:szCs w:val="22"/>
        </w:rPr>
        <w:t xml:space="preserve">Private interest in an act of office; Art. 325. Use of inventions or discoveries known by reason of office; </w:t>
      </w:r>
      <w:bookmarkStart w:id="10" w:name="art326"/>
      <w:bookmarkEnd w:id="10"/>
      <w:r>
        <w:rPr>
          <w:rStyle w:val="Enfasigrassetto"/>
          <w:rFonts w:ascii="Arial" w:hAnsi="Arial"/>
          <w:b w:val="0"/>
          <w:bCs w:val="0"/>
          <w:sz w:val="22"/>
          <w:szCs w:val="22"/>
        </w:rPr>
        <w:t>Art. 326.  Detection and use of secrets of office.</w:t>
      </w:r>
      <w:bookmarkStart w:id="11" w:name="art328"/>
      <w:bookmarkEnd w:id="11"/>
      <w:r>
        <w:rPr>
          <w:rStyle w:val="Enfasigrassetto"/>
          <w:rFonts w:ascii="Arial" w:hAnsi="Arial"/>
          <w:b w:val="0"/>
          <w:bCs w:val="0"/>
          <w:sz w:val="22"/>
          <w:szCs w:val="22"/>
        </w:rPr>
        <w:t xml:space="preserve"> Art.328. Refusal to perform an act of office. </w:t>
      </w:r>
    </w:p>
    <w:p w:rsidR="008D757C" w:rsidRPr="00CA778F" w:rsidRDefault="000A4562" w:rsidP="00F24A13">
      <w:pPr>
        <w:pStyle w:val="NormaleWeb"/>
        <w:numPr>
          <w:ilvl w:val="0"/>
          <w:numId w:val="1"/>
        </w:numPr>
        <w:spacing w:before="0" w:beforeAutospacing="0" w:after="0" w:afterAutospacing="0"/>
        <w:ind w:left="0" w:right="-1" w:firstLine="0"/>
        <w:jc w:val="both"/>
        <w:rPr>
          <w:rStyle w:val="Enfasigrassetto"/>
          <w:rFonts w:ascii="Arial" w:hAnsi="Arial" w:cs="Arial"/>
          <w:sz w:val="22"/>
          <w:szCs w:val="22"/>
        </w:rPr>
      </w:pPr>
      <w:r>
        <w:rPr>
          <w:rStyle w:val="Enfasigrassetto"/>
          <w:rFonts w:ascii="Arial" w:hAnsi="Arial"/>
          <w:b w:val="0"/>
          <w:sz w:val="22"/>
          <w:szCs w:val="22"/>
        </w:rPr>
        <w:t xml:space="preserve">offenses provided for in </w:t>
      </w:r>
      <w:r w:rsidR="005C5DE7">
        <w:rPr>
          <w:rStyle w:val="Enfasigrassetto"/>
          <w:rFonts w:ascii="Arial" w:hAnsi="Arial"/>
          <w:b w:val="0"/>
          <w:sz w:val="22"/>
          <w:szCs w:val="22"/>
        </w:rPr>
        <w:t xml:space="preserve">Book </w:t>
      </w:r>
      <w:r>
        <w:rPr>
          <w:rStyle w:val="Enfasigrassetto"/>
          <w:rFonts w:ascii="Arial" w:hAnsi="Arial"/>
          <w:b w:val="0"/>
          <w:sz w:val="22"/>
          <w:szCs w:val="22"/>
        </w:rPr>
        <w:t xml:space="preserve">II, </w:t>
      </w:r>
      <w:r w:rsidR="005C5DE7">
        <w:rPr>
          <w:rStyle w:val="Enfasigrassetto"/>
          <w:rFonts w:ascii="Arial" w:hAnsi="Arial"/>
          <w:b w:val="0"/>
          <w:sz w:val="22"/>
          <w:szCs w:val="22"/>
        </w:rPr>
        <w:t xml:space="preserve">Title </w:t>
      </w:r>
      <w:r>
        <w:rPr>
          <w:rStyle w:val="Enfasigrassetto"/>
          <w:rFonts w:ascii="Arial" w:hAnsi="Arial"/>
          <w:b w:val="0"/>
          <w:sz w:val="22"/>
          <w:szCs w:val="22"/>
        </w:rPr>
        <w:t xml:space="preserve">XIII, </w:t>
      </w:r>
      <w:r w:rsidR="005C5DE7">
        <w:rPr>
          <w:rStyle w:val="Enfasigrassetto"/>
          <w:rFonts w:ascii="Arial" w:hAnsi="Arial"/>
          <w:b w:val="0"/>
          <w:sz w:val="22"/>
          <w:szCs w:val="22"/>
        </w:rPr>
        <w:t xml:space="preserve">Chapter </w:t>
      </w:r>
      <w:r>
        <w:rPr>
          <w:rStyle w:val="Enfasigrassetto"/>
          <w:rFonts w:ascii="Arial" w:hAnsi="Arial"/>
          <w:b w:val="0"/>
          <w:sz w:val="22"/>
          <w:szCs w:val="22"/>
        </w:rPr>
        <w:t xml:space="preserve">II of the </w:t>
      </w:r>
      <w:r w:rsidR="00686424">
        <w:rPr>
          <w:rStyle w:val="Enfasigrassetto"/>
          <w:rFonts w:ascii="Arial" w:hAnsi="Arial"/>
          <w:b w:val="0"/>
          <w:sz w:val="22"/>
          <w:szCs w:val="22"/>
        </w:rPr>
        <w:t>Criminal Code</w:t>
      </w:r>
      <w:r>
        <w:rPr>
          <w:rStyle w:val="Enfasigrassetto"/>
          <w:rFonts w:ascii="Arial" w:hAnsi="Arial"/>
          <w:b w:val="0"/>
          <w:sz w:val="22"/>
          <w:szCs w:val="22"/>
        </w:rPr>
        <w:t>, named "</w:t>
      </w:r>
      <w:r>
        <w:rPr>
          <w:rStyle w:val="Enfasigrassetto"/>
          <w:rFonts w:ascii="Arial" w:hAnsi="Arial"/>
          <w:sz w:val="22"/>
          <w:szCs w:val="22"/>
        </w:rPr>
        <w:t>Crimes against property</w:t>
      </w:r>
      <w:r>
        <w:rPr>
          <w:rStyle w:val="Enfasigrassetto"/>
          <w:rFonts w:ascii="Arial" w:hAnsi="Arial"/>
          <w:b w:val="0"/>
          <w:sz w:val="22"/>
          <w:szCs w:val="22"/>
        </w:rPr>
        <w:t>" referred to in articles:</w:t>
      </w:r>
    </w:p>
    <w:p w:rsidR="008D757C" w:rsidRPr="00CA778F" w:rsidRDefault="00335954" w:rsidP="00F24A13">
      <w:pPr>
        <w:pStyle w:val="NormaleWeb"/>
        <w:spacing w:before="0" w:beforeAutospacing="0" w:after="0" w:afterAutospacing="0"/>
        <w:ind w:right="-1"/>
        <w:jc w:val="both"/>
        <w:rPr>
          <w:rStyle w:val="Enfasigrassetto"/>
          <w:rFonts w:ascii="Arial" w:hAnsi="Arial" w:cs="Arial"/>
          <w:b w:val="0"/>
          <w:sz w:val="22"/>
          <w:szCs w:val="22"/>
        </w:rPr>
      </w:pPr>
      <w:r>
        <w:rPr>
          <w:rStyle w:val="Enfasigrassetto"/>
          <w:rFonts w:ascii="Arial" w:hAnsi="Arial"/>
          <w:b w:val="0"/>
          <w:sz w:val="22"/>
          <w:szCs w:val="22"/>
        </w:rPr>
        <w:t>Art.640 Fraud; Art.640.bis Aggravated fraud t</w:t>
      </w:r>
      <w:r w:rsidR="00686424">
        <w:rPr>
          <w:rStyle w:val="Enfasigrassetto"/>
          <w:rFonts w:ascii="Arial" w:hAnsi="Arial"/>
          <w:b w:val="0"/>
          <w:sz w:val="22"/>
          <w:szCs w:val="22"/>
        </w:rPr>
        <w:t>o obtain public funds;; Art.640-</w:t>
      </w:r>
      <w:r>
        <w:rPr>
          <w:rStyle w:val="Enfasigrassetto"/>
          <w:rFonts w:ascii="Arial" w:hAnsi="Arial"/>
          <w:b w:val="0"/>
          <w:sz w:val="22"/>
          <w:szCs w:val="22"/>
        </w:rPr>
        <w:t>ter computer fraud ; Art.640</w:t>
      </w:r>
      <w:r w:rsidR="006061A9">
        <w:rPr>
          <w:rStyle w:val="Enfasigrassetto"/>
          <w:rFonts w:ascii="Arial" w:hAnsi="Arial"/>
          <w:b w:val="0"/>
          <w:sz w:val="22"/>
          <w:szCs w:val="22"/>
        </w:rPr>
        <w:t>-</w:t>
      </w:r>
      <w:r>
        <w:rPr>
          <w:rStyle w:val="Enfasigrassetto"/>
          <w:rFonts w:ascii="Arial" w:hAnsi="Arial"/>
          <w:b w:val="0"/>
          <w:sz w:val="22"/>
          <w:szCs w:val="22"/>
        </w:rPr>
        <w:t>quinquies computer fraud of the subject performing electronic signature certification; Art.644 usury; Art.648 handling stolen goods; Art.648</w:t>
      </w:r>
      <w:r w:rsidR="00686424">
        <w:rPr>
          <w:rStyle w:val="Enfasigrassetto"/>
          <w:rFonts w:ascii="Arial" w:hAnsi="Arial"/>
          <w:b w:val="0"/>
          <w:sz w:val="22"/>
          <w:szCs w:val="22"/>
        </w:rPr>
        <w:t>-</w:t>
      </w:r>
      <w:r>
        <w:rPr>
          <w:rStyle w:val="Enfasigrassetto"/>
          <w:rFonts w:ascii="Arial" w:hAnsi="Arial"/>
          <w:b w:val="0"/>
          <w:sz w:val="22"/>
          <w:szCs w:val="22"/>
        </w:rPr>
        <w:t>bis money laundering; Art.648</w:t>
      </w:r>
      <w:r w:rsidR="00686424">
        <w:rPr>
          <w:rStyle w:val="Enfasigrassetto"/>
          <w:rFonts w:ascii="Arial" w:hAnsi="Arial"/>
          <w:b w:val="0"/>
          <w:sz w:val="22"/>
          <w:szCs w:val="22"/>
        </w:rPr>
        <w:t>-</w:t>
      </w:r>
      <w:r>
        <w:rPr>
          <w:rStyle w:val="Enfasigrassetto"/>
          <w:rFonts w:ascii="Arial" w:hAnsi="Arial"/>
          <w:b w:val="0"/>
          <w:sz w:val="22"/>
          <w:szCs w:val="22"/>
        </w:rPr>
        <w:t>ter. Utilization of money, goods or</w:t>
      </w:r>
      <w:r w:rsidR="006061A9">
        <w:rPr>
          <w:rStyle w:val="Enfasigrassetto"/>
          <w:rFonts w:ascii="Arial" w:hAnsi="Arial"/>
          <w:b w:val="0"/>
          <w:sz w:val="22"/>
          <w:szCs w:val="22"/>
        </w:rPr>
        <w:t xml:space="preserve"> assets of unlawful origin; 648-</w:t>
      </w:r>
      <w:r>
        <w:rPr>
          <w:rStyle w:val="Enfasigrassetto"/>
          <w:rFonts w:ascii="Arial" w:hAnsi="Arial"/>
          <w:b w:val="0"/>
          <w:sz w:val="22"/>
          <w:szCs w:val="22"/>
        </w:rPr>
        <w:t xml:space="preserve">ter1  </w:t>
      </w:r>
      <w:r w:rsidR="0028774A">
        <w:rPr>
          <w:rStyle w:val="Enfasigrassetto"/>
          <w:rFonts w:ascii="Arial" w:hAnsi="Arial"/>
          <w:b w:val="0"/>
          <w:sz w:val="22"/>
          <w:szCs w:val="22"/>
        </w:rPr>
        <w:t>self-laundering</w:t>
      </w:r>
      <w:r>
        <w:rPr>
          <w:rStyle w:val="Enfasigrassetto"/>
          <w:rFonts w:ascii="Arial" w:hAnsi="Arial"/>
          <w:b w:val="0"/>
          <w:sz w:val="22"/>
          <w:szCs w:val="22"/>
        </w:rPr>
        <w:t>.</w:t>
      </w:r>
    </w:p>
    <w:p w:rsidR="00425B89" w:rsidRPr="00CA778F" w:rsidRDefault="00425B89" w:rsidP="00F24A13">
      <w:pPr>
        <w:pStyle w:val="NormaleWeb"/>
        <w:ind w:right="-1"/>
        <w:rPr>
          <w:rStyle w:val="Enfasigrassetto"/>
          <w:rFonts w:ascii="Arial" w:hAnsi="Arial" w:cs="Arial"/>
          <w:bCs w:val="0"/>
          <w:color w:val="1F497D"/>
          <w:sz w:val="22"/>
          <w:szCs w:val="22"/>
          <w:u w:val="single"/>
        </w:rPr>
      </w:pPr>
      <w:r>
        <w:rPr>
          <w:rStyle w:val="Enfasigrassetto"/>
          <w:rFonts w:ascii="Arial" w:hAnsi="Arial"/>
          <w:sz w:val="22"/>
          <w:szCs w:val="22"/>
          <w:u w:val="single"/>
        </w:rPr>
        <w:t>Personally and with reference to relatives and relatives-in-law up to the fourth degree of kinship</w:t>
      </w:r>
    </w:p>
    <w:p w:rsidR="00334133" w:rsidRPr="00CA778F" w:rsidRDefault="000A2A50" w:rsidP="0028774A">
      <w:pPr>
        <w:pStyle w:val="NormaleWeb"/>
        <w:ind w:right="-1"/>
        <w:rPr>
          <w:rStyle w:val="Enfasigrassetto"/>
          <w:rFonts w:ascii="Arial" w:hAnsi="Arial" w:cs="Arial"/>
          <w:b w:val="0"/>
          <w:sz w:val="22"/>
          <w:szCs w:val="22"/>
        </w:rPr>
      </w:pPr>
      <w:r>
        <w:rPr>
          <w:rStyle w:val="Enfasigrassetto"/>
          <w:rFonts w:ascii="Arial" w:hAnsi="Arial"/>
          <w:b w:val="0"/>
          <w:sz w:val="22"/>
          <w:szCs w:val="22"/>
        </w:rPr>
        <w:t>All crimes of Mafia-type unlawful association (articles 416-bis and 416-ter of the criminal code) or in any way attributable to the application of asset protection measures and/or provided for by legislative decree 159/2011 (Antimafia Code), or confiscation measures as per art.</w:t>
      </w:r>
      <w:r>
        <w:rPr>
          <w:rStyle w:val="Enfasigrassetto"/>
          <w:rFonts w:ascii="Arial" w:hAnsi="Arial"/>
          <w:sz w:val="22"/>
          <w:szCs w:val="22"/>
        </w:rPr>
        <w:t xml:space="preserve"> </w:t>
      </w:r>
      <w:r>
        <w:rPr>
          <w:rStyle w:val="Enfasigrassetto"/>
          <w:rFonts w:ascii="Arial" w:hAnsi="Arial"/>
          <w:b w:val="0"/>
          <w:sz w:val="22"/>
          <w:szCs w:val="22"/>
        </w:rPr>
        <w:t>12</w:t>
      </w:r>
      <w:r w:rsidR="006061A9">
        <w:rPr>
          <w:rStyle w:val="Enfasigrassetto"/>
          <w:rFonts w:ascii="Arial" w:hAnsi="Arial"/>
          <w:b w:val="0"/>
          <w:sz w:val="22"/>
          <w:szCs w:val="22"/>
        </w:rPr>
        <w:t>-</w:t>
      </w:r>
      <w:r>
        <w:rPr>
          <w:rStyle w:val="Enfasigrassetto"/>
          <w:rFonts w:ascii="Arial" w:hAnsi="Arial"/>
          <w:b w:val="0"/>
          <w:sz w:val="22"/>
          <w:szCs w:val="22"/>
        </w:rPr>
        <w:t xml:space="preserve">sexies, legislative </w:t>
      </w:r>
      <w:r w:rsidR="0028774A">
        <w:rPr>
          <w:rStyle w:val="Enfasigrassetto"/>
          <w:rFonts w:ascii="Arial" w:hAnsi="Arial"/>
          <w:b w:val="0"/>
          <w:sz w:val="22"/>
          <w:szCs w:val="22"/>
        </w:rPr>
        <w:t>decree 306</w:t>
      </w:r>
      <w:r>
        <w:rPr>
          <w:rStyle w:val="Enfasigrassetto"/>
          <w:rFonts w:ascii="Arial" w:hAnsi="Arial"/>
          <w:b w:val="0"/>
          <w:sz w:val="22"/>
          <w:szCs w:val="22"/>
        </w:rPr>
        <w:t xml:space="preserve">/92 </w:t>
      </w:r>
    </w:p>
    <w:p w:rsidR="00425B89" w:rsidRPr="00CA778F" w:rsidRDefault="00425B89" w:rsidP="00F24A13">
      <w:pPr>
        <w:pStyle w:val="NormaleWeb"/>
        <w:ind w:right="-1"/>
        <w:rPr>
          <w:rFonts w:ascii="Arial" w:hAnsi="Arial" w:cs="Arial"/>
          <w:b/>
          <w:sz w:val="22"/>
          <w:szCs w:val="22"/>
          <w:u w:val="single"/>
        </w:rPr>
      </w:pPr>
      <w:r>
        <w:rPr>
          <w:rFonts w:ascii="Arial" w:hAnsi="Arial"/>
          <w:b/>
          <w:sz w:val="22"/>
          <w:szCs w:val="22"/>
          <w:u w:val="single"/>
        </w:rPr>
        <w:t xml:space="preserve">and also </w:t>
      </w:r>
    </w:p>
    <w:p w:rsidR="00425B89" w:rsidRPr="00CA778F" w:rsidRDefault="006061A9" w:rsidP="00F24A13">
      <w:pPr>
        <w:pStyle w:val="NormaleWeb"/>
        <w:ind w:right="-1"/>
        <w:rPr>
          <w:rStyle w:val="Enfasigrassetto"/>
          <w:rFonts w:ascii="Arial" w:hAnsi="Arial" w:cs="Arial"/>
          <w:bCs w:val="0"/>
          <w:sz w:val="22"/>
          <w:szCs w:val="22"/>
        </w:rPr>
      </w:pPr>
      <w:r>
        <w:rPr>
          <w:rFonts w:ascii="Arial" w:hAnsi="Arial"/>
          <w:sz w:val="22"/>
          <w:szCs w:val="22"/>
        </w:rPr>
        <w:t>N</w:t>
      </w:r>
      <w:r w:rsidR="00425B89">
        <w:rPr>
          <w:rFonts w:ascii="Arial" w:hAnsi="Arial"/>
          <w:sz w:val="22"/>
          <w:szCs w:val="22"/>
        </w:rPr>
        <w:t>ot</w:t>
      </w:r>
      <w:r>
        <w:rPr>
          <w:rFonts w:ascii="Arial" w:hAnsi="Arial"/>
          <w:sz w:val="22"/>
          <w:szCs w:val="22"/>
        </w:rPr>
        <w:t xml:space="preserve"> to</w:t>
      </w:r>
      <w:r w:rsidR="00425B89">
        <w:rPr>
          <w:rFonts w:ascii="Arial" w:hAnsi="Arial"/>
          <w:sz w:val="22"/>
          <w:szCs w:val="22"/>
        </w:rPr>
        <w:t xml:space="preserve"> have covered corporate (legal representative, managing director) and/or managerial (director general, branch manager, plant manager) positions in private or public subsidiary companies convicted pursuant</w:t>
      </w:r>
      <w:r w:rsidR="0028774A">
        <w:rPr>
          <w:rFonts w:ascii="Arial" w:hAnsi="Arial"/>
          <w:sz w:val="22"/>
          <w:szCs w:val="22"/>
        </w:rPr>
        <w:t xml:space="preserve"> to legislative decree 231/2001.</w:t>
      </w:r>
    </w:p>
    <w:p w:rsidR="00334133" w:rsidRPr="000A2A50" w:rsidRDefault="00334133" w:rsidP="00334133">
      <w:pPr>
        <w:pStyle w:val="NormaleWeb"/>
        <w:ind w:left="284" w:right="991"/>
        <w:rPr>
          <w:rStyle w:val="Enfasigrassetto"/>
          <w:rFonts w:ascii="Garamond" w:hAnsi="Garamond"/>
          <w:b w:val="0"/>
        </w:rPr>
      </w:pPr>
    </w:p>
    <w:sectPr w:rsidR="00334133" w:rsidRPr="000A2A50" w:rsidSect="009E0B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4E86"/>
    <w:multiLevelType w:val="hybridMultilevel"/>
    <w:tmpl w:val="26388E22"/>
    <w:lvl w:ilvl="0" w:tplc="BFA237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647988"/>
    <w:multiLevelType w:val="hybridMultilevel"/>
    <w:tmpl w:val="9C0A9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D1"/>
    <w:rsid w:val="0000191C"/>
    <w:rsid w:val="000077E4"/>
    <w:rsid w:val="000A2A50"/>
    <w:rsid w:val="000A4562"/>
    <w:rsid w:val="0028774A"/>
    <w:rsid w:val="00334133"/>
    <w:rsid w:val="00335954"/>
    <w:rsid w:val="003A10D7"/>
    <w:rsid w:val="00425B89"/>
    <w:rsid w:val="005C5DE7"/>
    <w:rsid w:val="006061A9"/>
    <w:rsid w:val="00632D74"/>
    <w:rsid w:val="0068037C"/>
    <w:rsid w:val="00686424"/>
    <w:rsid w:val="00686971"/>
    <w:rsid w:val="006B07D6"/>
    <w:rsid w:val="006E1CE2"/>
    <w:rsid w:val="008D757C"/>
    <w:rsid w:val="008E3674"/>
    <w:rsid w:val="009E0B32"/>
    <w:rsid w:val="00A469D1"/>
    <w:rsid w:val="00AD5A06"/>
    <w:rsid w:val="00C53DEB"/>
    <w:rsid w:val="00C640A3"/>
    <w:rsid w:val="00CA778F"/>
    <w:rsid w:val="00F214D7"/>
    <w:rsid w:val="00F24A13"/>
    <w:rsid w:val="00F46586"/>
    <w:rsid w:val="00F5313D"/>
    <w:rsid w:val="00FE6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2EDF-9E9C-4B58-8635-CF850D8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0B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803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8037C"/>
    <w:rPr>
      <w:b/>
      <w:bCs/>
    </w:rPr>
  </w:style>
  <w:style w:type="character" w:styleId="Collegamentoipertestuale">
    <w:name w:val="Hyperlink"/>
    <w:basedOn w:val="Carpredefinitoparagrafo"/>
    <w:uiPriority w:val="99"/>
    <w:semiHidden/>
    <w:unhideWhenUsed/>
    <w:rsid w:val="008D757C"/>
    <w:rPr>
      <w:color w:val="0000FF"/>
      <w:u w:val="single"/>
    </w:rPr>
  </w:style>
  <w:style w:type="character" w:styleId="Enfasicorsivo">
    <w:name w:val="Emphasis"/>
    <w:basedOn w:val="Carpredefinitoparagrafo"/>
    <w:uiPriority w:val="20"/>
    <w:qFormat/>
    <w:rsid w:val="008D7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073">
      <w:bodyDiv w:val="1"/>
      <w:marLeft w:val="0"/>
      <w:marRight w:val="0"/>
      <w:marTop w:val="0"/>
      <w:marBottom w:val="0"/>
      <w:divBdr>
        <w:top w:val="none" w:sz="0" w:space="0" w:color="auto"/>
        <w:left w:val="none" w:sz="0" w:space="0" w:color="auto"/>
        <w:bottom w:val="none" w:sz="0" w:space="0" w:color="auto"/>
        <w:right w:val="none" w:sz="0" w:space="0" w:color="auto"/>
      </w:divBdr>
      <w:divsChild>
        <w:div w:id="1784836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947840">
      <w:bodyDiv w:val="1"/>
      <w:marLeft w:val="0"/>
      <w:marRight w:val="0"/>
      <w:marTop w:val="0"/>
      <w:marBottom w:val="0"/>
      <w:divBdr>
        <w:top w:val="none" w:sz="0" w:space="0" w:color="auto"/>
        <w:left w:val="none" w:sz="0" w:space="0" w:color="auto"/>
        <w:bottom w:val="none" w:sz="0" w:space="0" w:color="auto"/>
        <w:right w:val="none" w:sz="0" w:space="0" w:color="auto"/>
      </w:divBdr>
    </w:div>
    <w:div w:id="1084376875">
      <w:bodyDiv w:val="1"/>
      <w:marLeft w:val="0"/>
      <w:marRight w:val="0"/>
      <w:marTop w:val="0"/>
      <w:marBottom w:val="0"/>
      <w:divBdr>
        <w:top w:val="none" w:sz="0" w:space="0" w:color="auto"/>
        <w:left w:val="none" w:sz="0" w:space="0" w:color="auto"/>
        <w:bottom w:val="none" w:sz="0" w:space="0" w:color="auto"/>
        <w:right w:val="none" w:sz="0" w:space="0" w:color="auto"/>
      </w:divBdr>
      <w:divsChild>
        <w:div w:id="21581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06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8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210826">
      <w:bodyDiv w:val="1"/>
      <w:marLeft w:val="0"/>
      <w:marRight w:val="0"/>
      <w:marTop w:val="0"/>
      <w:marBottom w:val="0"/>
      <w:divBdr>
        <w:top w:val="none" w:sz="0" w:space="0" w:color="auto"/>
        <w:left w:val="none" w:sz="0" w:space="0" w:color="auto"/>
        <w:bottom w:val="none" w:sz="0" w:space="0" w:color="auto"/>
        <w:right w:val="none" w:sz="0" w:space="0" w:color="auto"/>
      </w:divBdr>
      <w:divsChild>
        <w:div w:id="388846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33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81182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0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48505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61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92643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518044">
      <w:bodyDiv w:val="1"/>
      <w:marLeft w:val="0"/>
      <w:marRight w:val="0"/>
      <w:marTop w:val="0"/>
      <w:marBottom w:val="0"/>
      <w:divBdr>
        <w:top w:val="none" w:sz="0" w:space="0" w:color="auto"/>
        <w:left w:val="none" w:sz="0" w:space="0" w:color="auto"/>
        <w:bottom w:val="none" w:sz="0" w:space="0" w:color="auto"/>
        <w:right w:val="none" w:sz="0" w:space="0" w:color="auto"/>
      </w:divBdr>
    </w:div>
    <w:div w:id="21103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4</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ANTONIO</dc:creator>
  <cp:keywords/>
  <dc:description/>
  <cp:lastModifiedBy>Schillaci, Tiziana</cp:lastModifiedBy>
  <cp:revision>2</cp:revision>
  <dcterms:created xsi:type="dcterms:W3CDTF">2017-10-20T06:20:00Z</dcterms:created>
  <dcterms:modified xsi:type="dcterms:W3CDTF">2017-10-20T06:20:00Z</dcterms:modified>
</cp:coreProperties>
</file>